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3C71A" w14:textId="716FDED7" w:rsidR="00DE2166" w:rsidRPr="00DE2166" w:rsidRDefault="004539D5" w:rsidP="00DE2166">
      <w:pPr>
        <w:spacing w:line="424" w:lineRule="exact"/>
        <w:ind w:left="936" w:right="1728"/>
        <w:textAlignment w:val="baseline"/>
        <w:rPr>
          <w:rFonts w:ascii="Georgia" w:eastAsia="Georgia" w:hAnsi="Georgia"/>
          <w:color w:val="5A9AD4"/>
          <w:sz w:val="36"/>
        </w:rPr>
      </w:pPr>
      <w:r>
        <w:rPr>
          <w:rFonts w:ascii="Georgia" w:eastAsia="Georgia" w:hAnsi="Georgia"/>
          <w:color w:val="5A9AD4"/>
          <w:sz w:val="36"/>
        </w:rPr>
        <w:t xml:space="preserve">Local Roads and Community Infrastructure Program – </w:t>
      </w:r>
      <w:r w:rsidR="005C7D1A">
        <w:rPr>
          <w:rFonts w:ascii="Georgia" w:eastAsia="Georgia" w:hAnsi="Georgia"/>
          <w:color w:val="5A9AD4"/>
          <w:sz w:val="36"/>
        </w:rPr>
        <w:t>Ad Hoc</w:t>
      </w:r>
      <w:r w:rsidR="00D544A9">
        <w:rPr>
          <w:rFonts w:ascii="Georgia" w:eastAsia="Georgia" w:hAnsi="Georgia"/>
          <w:color w:val="5A9AD4"/>
          <w:sz w:val="36"/>
        </w:rPr>
        <w:t xml:space="preserve"> Report</w:t>
      </w:r>
    </w:p>
    <w:p w14:paraId="65C5AF05" w14:textId="6423E48F" w:rsidR="002B0943" w:rsidRDefault="002B0943" w:rsidP="002B0943">
      <w:pPr>
        <w:spacing w:before="172" w:line="288" w:lineRule="exact"/>
        <w:ind w:left="936" w:right="122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Local Councils (Eligible Funding Recipients) are required to provide </w:t>
      </w:r>
      <w:r w:rsidR="005C7D1A">
        <w:rPr>
          <w:rFonts w:eastAsia="Times New Roman"/>
          <w:color w:val="000000"/>
        </w:rPr>
        <w:t>an Ad Hoc Report</w:t>
      </w:r>
      <w:r w:rsidRPr="00AD0419">
        <w:rPr>
          <w:rFonts w:eastAsia="Times New Roman"/>
          <w:color w:val="000000"/>
        </w:rPr>
        <w:t xml:space="preserve"> to the Department of Infrastructure, Transport, Regional Development and Communications </w:t>
      </w:r>
      <w:r>
        <w:rPr>
          <w:rFonts w:eastAsia="Times New Roman"/>
          <w:color w:val="000000"/>
        </w:rPr>
        <w:t>(</w:t>
      </w:r>
      <w:r w:rsidR="00236729">
        <w:rPr>
          <w:rFonts w:eastAsia="Times New Roman"/>
          <w:color w:val="000000"/>
        </w:rPr>
        <w:t>t</w:t>
      </w:r>
      <w:r w:rsidR="0039254D">
        <w:rPr>
          <w:rFonts w:eastAsia="Times New Roman"/>
          <w:color w:val="000000"/>
        </w:rPr>
        <w:t xml:space="preserve">he </w:t>
      </w:r>
      <w:r>
        <w:rPr>
          <w:rFonts w:eastAsia="Times New Roman"/>
          <w:color w:val="000000"/>
        </w:rPr>
        <w:t xml:space="preserve">‘Department’) </w:t>
      </w:r>
      <w:r w:rsidR="00AE1D51">
        <w:rPr>
          <w:rFonts w:cstheme="minorHAnsi"/>
          <w:color w:val="000000"/>
        </w:rPr>
        <w:t>to access their</w:t>
      </w:r>
      <w:r w:rsidR="005C7D1A">
        <w:rPr>
          <w:rFonts w:cstheme="minorHAnsi"/>
          <w:color w:val="000000"/>
        </w:rPr>
        <w:t xml:space="preserve"> Second Instalment early </w:t>
      </w:r>
      <w:r w:rsidR="0039254D">
        <w:rPr>
          <w:rFonts w:eastAsia="Times New Roman"/>
          <w:color w:val="000000"/>
        </w:rPr>
        <w:t>under the Local Roads and Community Infrastructure Program</w:t>
      </w:r>
      <w:r>
        <w:rPr>
          <w:rFonts w:eastAsia="Times New Roman"/>
          <w:color w:val="000000"/>
        </w:rPr>
        <w:t xml:space="preserve">. </w:t>
      </w:r>
    </w:p>
    <w:p w14:paraId="31B0032D" w14:textId="00000416" w:rsidR="00AD0419" w:rsidRPr="00AD0419" w:rsidRDefault="005C7D1A" w:rsidP="003049A1">
      <w:pPr>
        <w:spacing w:before="172" w:line="288" w:lineRule="exact"/>
        <w:ind w:left="936" w:right="1224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Submitting an Ad Hoc </w:t>
      </w:r>
      <w:r w:rsidR="00AD0419" w:rsidRPr="00AD0419">
        <w:rPr>
          <w:rFonts w:eastAsia="Times New Roman"/>
          <w:b/>
          <w:color w:val="000000"/>
        </w:rPr>
        <w:t>Report</w:t>
      </w:r>
    </w:p>
    <w:p w14:paraId="46234872" w14:textId="58104314" w:rsidR="000D4E31" w:rsidRDefault="00AE1D51" w:rsidP="00E8610C">
      <w:pPr>
        <w:spacing w:before="172" w:line="288" w:lineRule="exact"/>
        <w:ind w:left="936" w:right="122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Eligible Funding Re</w:t>
      </w:r>
      <w:r w:rsidR="00747836">
        <w:rPr>
          <w:rFonts w:eastAsia="Times New Roman"/>
          <w:color w:val="000000"/>
        </w:rPr>
        <w:t>cipients wish to access their Second</w:t>
      </w:r>
      <w:r>
        <w:rPr>
          <w:rFonts w:eastAsia="Times New Roman"/>
          <w:color w:val="000000"/>
        </w:rPr>
        <w:t xml:space="preserve"> Instalment before the Second Quarterly Report is due, </w:t>
      </w:r>
      <w:r w:rsidR="004A1A26">
        <w:rPr>
          <w:rFonts w:eastAsia="Times New Roman"/>
          <w:color w:val="000000"/>
        </w:rPr>
        <w:t xml:space="preserve">Eligible </w:t>
      </w:r>
      <w:r w:rsidR="00AD0419">
        <w:rPr>
          <w:rFonts w:eastAsia="Times New Roman"/>
          <w:color w:val="000000"/>
        </w:rPr>
        <w:t xml:space="preserve">Funding Recipients must submit </w:t>
      </w:r>
      <w:r w:rsidR="005C7D1A">
        <w:rPr>
          <w:rFonts w:eastAsia="Times New Roman"/>
          <w:color w:val="000000"/>
        </w:rPr>
        <w:t xml:space="preserve">an Ad Hoc Report as </w:t>
      </w:r>
      <w:r w:rsidR="00236729">
        <w:rPr>
          <w:rFonts w:eastAsia="Times New Roman"/>
          <w:color w:val="000000"/>
        </w:rPr>
        <w:t>specified in the</w:t>
      </w:r>
      <w:r w:rsidR="00AD0419">
        <w:rPr>
          <w:rFonts w:eastAsia="Times New Roman"/>
          <w:color w:val="000000"/>
        </w:rPr>
        <w:t xml:space="preserve"> Grant Agreement. </w:t>
      </w:r>
    </w:p>
    <w:p w14:paraId="48769AF5" w14:textId="4D262F43" w:rsidR="00DE2166" w:rsidRPr="00236729" w:rsidRDefault="005C7D1A" w:rsidP="00236729">
      <w:pPr>
        <w:pStyle w:val="ListParagraph"/>
        <w:numPr>
          <w:ilvl w:val="0"/>
          <w:numId w:val="9"/>
        </w:numPr>
        <w:spacing w:before="172" w:line="288" w:lineRule="exact"/>
        <w:ind w:right="1224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Ad Hoc Reports</w:t>
      </w:r>
      <w:r w:rsidR="00AD0419" w:rsidRPr="00236729">
        <w:rPr>
          <w:rFonts w:eastAsia="Times New Roman"/>
          <w:b/>
          <w:color w:val="000000"/>
        </w:rPr>
        <w:t xml:space="preserve"> must be submitted to the Department via email to</w:t>
      </w:r>
      <w:r w:rsidR="00AD0419" w:rsidRPr="00236729">
        <w:rPr>
          <w:rFonts w:eastAsia="Times New Roman"/>
          <w:color w:val="000000"/>
        </w:rPr>
        <w:t xml:space="preserve"> </w:t>
      </w:r>
      <w:hyperlink r:id="rId8">
        <w:r w:rsidR="00AD0419" w:rsidRPr="00236729">
          <w:rPr>
            <w:rFonts w:eastAsia="Times New Roman"/>
            <w:color w:val="0000FF"/>
            <w:u w:val="single"/>
          </w:rPr>
          <w:t>IIP@infrastructure.gov.au</w:t>
        </w:r>
      </w:hyperlink>
      <w:r w:rsidR="00AD0419" w:rsidRPr="00236729">
        <w:rPr>
          <w:rFonts w:eastAsia="Times New Roman"/>
          <w:color w:val="000000"/>
        </w:rPr>
        <w:t>.</w:t>
      </w:r>
    </w:p>
    <w:p w14:paraId="11991A42" w14:textId="1E7CCA79" w:rsidR="005C2D3D" w:rsidRPr="00AE1D51" w:rsidRDefault="0039254D" w:rsidP="00AE1D51">
      <w:pPr>
        <w:pStyle w:val="ListParagraph"/>
        <w:numPr>
          <w:ilvl w:val="0"/>
          <w:numId w:val="9"/>
        </w:numPr>
        <w:spacing w:before="172" w:line="288" w:lineRule="exact"/>
        <w:ind w:right="1224"/>
        <w:textAlignment w:val="baseline"/>
        <w:rPr>
          <w:rFonts w:eastAsia="Times New Roman"/>
          <w:b/>
          <w:color w:val="000000"/>
        </w:rPr>
      </w:pPr>
      <w:r w:rsidRPr="00236729">
        <w:rPr>
          <w:rFonts w:eastAsia="Times New Roman"/>
          <w:color w:val="000000"/>
        </w:rPr>
        <w:t xml:space="preserve">When </w:t>
      </w:r>
      <w:r w:rsidR="00144B4A" w:rsidRPr="00236729">
        <w:rPr>
          <w:rFonts w:eastAsia="Times New Roman"/>
          <w:color w:val="000000"/>
        </w:rPr>
        <w:t xml:space="preserve">submitting your </w:t>
      </w:r>
      <w:r w:rsidR="005C7D1A">
        <w:rPr>
          <w:rFonts w:eastAsia="Times New Roman"/>
          <w:color w:val="000000"/>
        </w:rPr>
        <w:t>Ad Hoc</w:t>
      </w:r>
      <w:r w:rsidR="00144B4A" w:rsidRPr="00236729">
        <w:rPr>
          <w:rFonts w:eastAsia="Times New Roman"/>
          <w:color w:val="000000"/>
        </w:rPr>
        <w:t xml:space="preserve"> Report</w:t>
      </w:r>
      <w:r w:rsidRPr="00236729">
        <w:rPr>
          <w:rFonts w:eastAsia="Times New Roman"/>
          <w:color w:val="000000"/>
        </w:rPr>
        <w:t>, p</w:t>
      </w:r>
      <w:r w:rsidR="009B7600" w:rsidRPr="00236729">
        <w:rPr>
          <w:rFonts w:eastAsia="Times New Roman"/>
          <w:color w:val="000000"/>
        </w:rPr>
        <w:t>lease use the subject line</w:t>
      </w:r>
      <w:r w:rsidRPr="00236729">
        <w:rPr>
          <w:rFonts w:eastAsia="Times New Roman"/>
          <w:color w:val="000000"/>
        </w:rPr>
        <w:t xml:space="preserve">: </w:t>
      </w:r>
      <w:r w:rsidR="009B7600" w:rsidRPr="00236729">
        <w:rPr>
          <w:rFonts w:eastAsia="Times New Roman"/>
          <w:b/>
          <w:color w:val="000000"/>
        </w:rPr>
        <w:t xml:space="preserve">[Council Name] </w:t>
      </w:r>
      <w:r w:rsidR="005C7D1A">
        <w:rPr>
          <w:rFonts w:eastAsia="Times New Roman"/>
          <w:b/>
          <w:color w:val="000000"/>
        </w:rPr>
        <w:t>Ad Hoc</w:t>
      </w:r>
      <w:r w:rsidR="009B7600" w:rsidRPr="00236729">
        <w:rPr>
          <w:rFonts w:eastAsia="Times New Roman"/>
          <w:b/>
          <w:color w:val="000000"/>
        </w:rPr>
        <w:t xml:space="preserve"> Report</w:t>
      </w:r>
      <w:r w:rsidRPr="00236729">
        <w:rPr>
          <w:rFonts w:eastAsia="Times New Roman"/>
          <w:b/>
          <w:color w:val="000000"/>
        </w:rPr>
        <w:t>.</w:t>
      </w:r>
    </w:p>
    <w:p w14:paraId="4D24E281" w14:textId="1B4C2800" w:rsidR="005C7D1A" w:rsidRPr="005C2D3D" w:rsidRDefault="00747836" w:rsidP="005C2D3D">
      <w:pPr>
        <w:spacing w:before="172" w:line="288" w:lineRule="exact"/>
        <w:ind w:left="936" w:right="1224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Under an Ad Hoc arrangement, th</w:t>
      </w:r>
      <w:bookmarkStart w:id="0" w:name="_GoBack"/>
      <w:bookmarkEnd w:id="0"/>
      <w:r w:rsidR="005C7D1A" w:rsidRPr="005C2D3D">
        <w:rPr>
          <w:rFonts w:eastAsia="Times New Roman"/>
          <w:color w:val="000000"/>
        </w:rPr>
        <w:t xml:space="preserve">e </w:t>
      </w:r>
      <w:r w:rsidR="00AE1D51">
        <w:rPr>
          <w:rFonts w:eastAsia="Times New Roman"/>
          <w:color w:val="000000"/>
        </w:rPr>
        <w:t xml:space="preserve">Second Instalment an Eligible Funding Recipient </w:t>
      </w:r>
      <w:r w:rsidR="005C7D1A" w:rsidRPr="005C2D3D">
        <w:rPr>
          <w:rFonts w:eastAsia="Times New Roman"/>
          <w:color w:val="000000"/>
        </w:rPr>
        <w:t>will</w:t>
      </w:r>
      <w:r w:rsidR="00AE1D51">
        <w:rPr>
          <w:rFonts w:eastAsia="Times New Roman"/>
          <w:color w:val="000000"/>
        </w:rPr>
        <w:t xml:space="preserve"> receive will</w:t>
      </w:r>
      <w:r w:rsidR="005C7D1A" w:rsidRPr="005C2D3D">
        <w:rPr>
          <w:rFonts w:eastAsia="Times New Roman"/>
          <w:color w:val="000000"/>
        </w:rPr>
        <w:t xml:space="preserve"> be equal</w:t>
      </w:r>
      <w:r w:rsidR="005C2D3D">
        <w:rPr>
          <w:rFonts w:eastAsia="Times New Roman"/>
          <w:color w:val="000000"/>
        </w:rPr>
        <w:t xml:space="preserve"> to</w:t>
      </w:r>
      <w:r w:rsidR="005C7D1A" w:rsidRPr="005C2D3D">
        <w:rPr>
          <w:rFonts w:eastAsia="Times New Roman"/>
          <w:color w:val="000000"/>
        </w:rPr>
        <w:t>:</w:t>
      </w:r>
    </w:p>
    <w:p w14:paraId="1B124CE7" w14:textId="77777777" w:rsidR="005C7D1A" w:rsidRPr="005C7D1A" w:rsidRDefault="005C7D1A" w:rsidP="005C7D1A">
      <w:pPr>
        <w:pStyle w:val="ListParagraph"/>
        <w:numPr>
          <w:ilvl w:val="0"/>
          <w:numId w:val="7"/>
        </w:numPr>
        <w:spacing w:before="172" w:line="288" w:lineRule="exact"/>
        <w:ind w:right="1224"/>
        <w:textAlignment w:val="baseline"/>
        <w:rPr>
          <w:rFonts w:eastAsia="Times New Roman"/>
          <w:color w:val="000000"/>
        </w:rPr>
      </w:pPr>
      <w:r w:rsidRPr="005C7D1A">
        <w:rPr>
          <w:rFonts w:eastAsia="Times New Roman"/>
          <w:color w:val="000000"/>
        </w:rPr>
        <w:t xml:space="preserve">actual expenditure up until the Ad hoc Report date; </w:t>
      </w:r>
    </w:p>
    <w:p w14:paraId="281CEBD2" w14:textId="77777777" w:rsidR="005C7D1A" w:rsidRPr="005C7D1A" w:rsidRDefault="005C7D1A" w:rsidP="005C7D1A">
      <w:pPr>
        <w:pStyle w:val="ListParagraph"/>
        <w:numPr>
          <w:ilvl w:val="0"/>
          <w:numId w:val="7"/>
        </w:numPr>
        <w:spacing w:before="172" w:line="288" w:lineRule="exact"/>
        <w:ind w:right="1224"/>
        <w:textAlignment w:val="baseline"/>
        <w:rPr>
          <w:rFonts w:eastAsia="Times New Roman"/>
          <w:color w:val="000000"/>
        </w:rPr>
      </w:pPr>
      <w:r w:rsidRPr="005C7D1A">
        <w:rPr>
          <w:rFonts w:eastAsia="Times New Roman"/>
          <w:color w:val="000000"/>
        </w:rPr>
        <w:t>plus projected expenditure to 31 March 2021</w:t>
      </w:r>
    </w:p>
    <w:p w14:paraId="788FB013" w14:textId="77777777" w:rsidR="005C7D1A" w:rsidRPr="005C2D3D" w:rsidRDefault="005C7D1A" w:rsidP="005C2D3D">
      <w:pPr>
        <w:spacing w:before="172" w:line="288" w:lineRule="exact"/>
        <w:ind w:left="1296" w:right="1224"/>
        <w:textAlignment w:val="baseline"/>
        <w:rPr>
          <w:rFonts w:eastAsia="Times New Roman"/>
          <w:color w:val="000000"/>
        </w:rPr>
      </w:pPr>
      <w:r w:rsidRPr="005C2D3D">
        <w:rPr>
          <w:rFonts w:eastAsia="Times New Roman"/>
          <w:color w:val="000000"/>
        </w:rPr>
        <w:t>less:</w:t>
      </w:r>
    </w:p>
    <w:p w14:paraId="3B62D279" w14:textId="77777777" w:rsidR="005C7D1A" w:rsidRPr="005C7D1A" w:rsidRDefault="005C7D1A" w:rsidP="005C7D1A">
      <w:pPr>
        <w:pStyle w:val="ListParagraph"/>
        <w:numPr>
          <w:ilvl w:val="0"/>
          <w:numId w:val="7"/>
        </w:numPr>
        <w:spacing w:before="172" w:line="288" w:lineRule="exact"/>
        <w:ind w:right="1224"/>
        <w:textAlignment w:val="baseline"/>
        <w:rPr>
          <w:rFonts w:eastAsia="Times New Roman"/>
          <w:color w:val="000000"/>
        </w:rPr>
      </w:pPr>
      <w:r w:rsidRPr="005C7D1A">
        <w:rPr>
          <w:rFonts w:eastAsia="Times New Roman"/>
          <w:color w:val="000000"/>
        </w:rPr>
        <w:t>the first instalment; and</w:t>
      </w:r>
    </w:p>
    <w:p w14:paraId="6FB45EFF" w14:textId="69D508F0" w:rsidR="005C2D3D" w:rsidRPr="00AE1D51" w:rsidRDefault="005C7D1A" w:rsidP="00AE1D51">
      <w:pPr>
        <w:pStyle w:val="ListParagraph"/>
        <w:numPr>
          <w:ilvl w:val="0"/>
          <w:numId w:val="7"/>
        </w:numPr>
        <w:spacing w:before="172" w:line="288" w:lineRule="exact"/>
        <w:ind w:right="1224"/>
        <w:textAlignment w:val="baseline"/>
        <w:rPr>
          <w:rFonts w:eastAsia="Times New Roman"/>
          <w:color w:val="000000"/>
        </w:rPr>
      </w:pPr>
      <w:r w:rsidRPr="005C7D1A">
        <w:rPr>
          <w:rFonts w:eastAsia="Times New Roman"/>
          <w:color w:val="000000"/>
        </w:rPr>
        <w:t>10 per cent of the Nominal Funding Allocation.</w:t>
      </w:r>
    </w:p>
    <w:p w14:paraId="5F97D86B" w14:textId="0780187F" w:rsidR="00144B4A" w:rsidRDefault="00144B4A" w:rsidP="00144B4A">
      <w:pPr>
        <w:spacing w:before="164" w:after="168" w:line="288" w:lineRule="exact"/>
        <w:ind w:left="936" w:right="1368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</w:t>
      </w:r>
      <w:r w:rsidR="005C7D1A">
        <w:rPr>
          <w:rFonts w:eastAsia="Times New Roman"/>
          <w:color w:val="000000"/>
        </w:rPr>
        <w:t>Ad Hoc</w:t>
      </w:r>
      <w:r>
        <w:rPr>
          <w:rFonts w:eastAsia="Times New Roman"/>
          <w:color w:val="000000"/>
        </w:rPr>
        <w:t xml:space="preserve"> Report template must have each section completed for </w:t>
      </w:r>
      <w:r>
        <w:rPr>
          <w:rFonts w:eastAsia="Times New Roman"/>
          <w:color w:val="000000"/>
          <w:u w:val="single"/>
        </w:rPr>
        <w:t>each project</w:t>
      </w:r>
      <w:r>
        <w:rPr>
          <w:rFonts w:eastAsia="Times New Roman"/>
          <w:color w:val="000000"/>
        </w:rPr>
        <w:t xml:space="preserve"> as specified in the Approved Work Schedule. The figures in the </w:t>
      </w:r>
      <w:r w:rsidR="005C7D1A">
        <w:rPr>
          <w:rFonts w:eastAsia="Times New Roman"/>
          <w:color w:val="000000"/>
        </w:rPr>
        <w:t>Ad Hoc</w:t>
      </w:r>
      <w:r>
        <w:rPr>
          <w:rFonts w:eastAsia="Times New Roman"/>
          <w:color w:val="000000"/>
        </w:rPr>
        <w:t xml:space="preserve"> Report are to be prepared on an accrual basis.</w:t>
      </w:r>
    </w:p>
    <w:p w14:paraId="4C460509" w14:textId="77777777" w:rsidR="00144B4A" w:rsidRDefault="00144B4A" w:rsidP="009B7600">
      <w:pPr>
        <w:spacing w:before="172" w:line="288" w:lineRule="exact"/>
        <w:ind w:left="936" w:right="1224"/>
        <w:textAlignment w:val="baseline"/>
        <w:rPr>
          <w:rFonts w:eastAsia="Times New Roman"/>
          <w:color w:val="000000"/>
        </w:rPr>
      </w:pPr>
    </w:p>
    <w:p w14:paraId="2864C0EE" w14:textId="77777777" w:rsidR="00144B4A" w:rsidRDefault="00144B4A" w:rsidP="009B7600">
      <w:pPr>
        <w:spacing w:before="172" w:line="288" w:lineRule="exact"/>
        <w:ind w:left="936" w:right="1224"/>
        <w:textAlignment w:val="baseline"/>
        <w:rPr>
          <w:rFonts w:eastAsia="Times New Roman"/>
          <w:color w:val="000000"/>
        </w:rPr>
      </w:pPr>
    </w:p>
    <w:p w14:paraId="06744C44" w14:textId="77777777" w:rsidR="0090359E" w:rsidRDefault="0090359E">
      <w:pPr>
        <w:rPr>
          <w:rFonts w:ascii="Georgia" w:eastAsia="Georgia" w:hAnsi="Georgia"/>
          <w:color w:val="5A9AD4"/>
          <w:spacing w:val="-1"/>
          <w:sz w:val="36"/>
        </w:rPr>
      </w:pPr>
      <w:r>
        <w:rPr>
          <w:rFonts w:ascii="Georgia" w:eastAsia="Georgia" w:hAnsi="Georgia"/>
          <w:color w:val="5A9AD4"/>
          <w:spacing w:val="-1"/>
          <w:sz w:val="36"/>
        </w:rPr>
        <w:br w:type="page"/>
      </w:r>
    </w:p>
    <w:p w14:paraId="362A169B" w14:textId="7E0E5232" w:rsidR="0069506D" w:rsidRDefault="0090359E" w:rsidP="0069506D">
      <w:pPr>
        <w:spacing w:before="19" w:line="389" w:lineRule="exact"/>
        <w:ind w:left="1080"/>
        <w:textAlignment w:val="baseline"/>
        <w:rPr>
          <w:rFonts w:ascii="Georgia" w:eastAsia="Georgia" w:hAnsi="Georgia"/>
          <w:color w:val="5A9AD4"/>
          <w:spacing w:val="-1"/>
          <w:sz w:val="36"/>
        </w:rPr>
      </w:pPr>
      <w:r>
        <w:rPr>
          <w:rFonts w:ascii="Georgia" w:eastAsia="Georgia" w:hAnsi="Georgia"/>
          <w:color w:val="5A9AD4"/>
          <w:spacing w:val="-1"/>
          <w:sz w:val="36"/>
        </w:rPr>
        <w:lastRenderedPageBreak/>
        <w:t>D</w:t>
      </w:r>
      <w:r w:rsidR="0069506D">
        <w:rPr>
          <w:rFonts w:ascii="Georgia" w:eastAsia="Georgia" w:hAnsi="Georgia"/>
          <w:color w:val="5A9AD4"/>
          <w:spacing w:val="-1"/>
          <w:sz w:val="36"/>
        </w:rPr>
        <w:t>eclaration</w:t>
      </w:r>
    </w:p>
    <w:p w14:paraId="07B20A35" w14:textId="77777777" w:rsidR="0069506D" w:rsidRDefault="0069506D" w:rsidP="0069506D">
      <w:pPr>
        <w:spacing w:before="211" w:line="249" w:lineRule="exact"/>
        <w:ind w:left="108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declare that:</w:t>
      </w:r>
    </w:p>
    <w:p w14:paraId="543E5B2F" w14:textId="4CEFF5C1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97" w:line="269" w:lineRule="exact"/>
        <w:ind w:left="1800" w:right="1512" w:hanging="36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have read, understood and agree to abide by the Program Guidelines on the Department's website at</w:t>
      </w:r>
      <w:r>
        <w:rPr>
          <w:rFonts w:eastAsia="Times New Roman"/>
          <w:color w:val="0000FF"/>
          <w:u w:val="single"/>
        </w:rPr>
        <w:t xml:space="preserve"> </w:t>
      </w:r>
      <w:hyperlink r:id="rId9">
        <w:r>
          <w:rPr>
            <w:rFonts w:eastAsia="Times New Roman"/>
            <w:color w:val="0000FF"/>
            <w:u w:val="single"/>
          </w:rPr>
          <w:t>www.investment.infrastructure.gov.au/lrci</w:t>
        </w:r>
      </w:hyperlink>
      <w:r>
        <w:rPr>
          <w:rFonts w:eastAsia="Times New Roman"/>
          <w:color w:val="000000"/>
        </w:rPr>
        <w:t xml:space="preserve"> as in force at the time of submission</w:t>
      </w:r>
      <w:r w:rsidR="009B7600">
        <w:rPr>
          <w:rFonts w:eastAsia="Times New Roman"/>
          <w:color w:val="000000"/>
        </w:rPr>
        <w:t>;</w:t>
      </w:r>
    </w:p>
    <w:p w14:paraId="7A8E10D9" w14:textId="77777777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33" w:line="266" w:lineRule="exact"/>
        <w:ind w:left="1800" w:right="1512" w:hanging="3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information I have submitted in this form is, to the best of my knowledge, true, accurate and complete. I also understand that giving false or misleading information is a serious offence under the </w:t>
      </w:r>
      <w:r>
        <w:rPr>
          <w:rFonts w:eastAsia="Times New Roman"/>
          <w:i/>
          <w:color w:val="000000"/>
        </w:rPr>
        <w:t xml:space="preserve">Criminal Code 1995 </w:t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Cth</w:t>
      </w:r>
      <w:proofErr w:type="spellEnd"/>
      <w:r>
        <w:rPr>
          <w:rFonts w:eastAsia="Times New Roman"/>
          <w:color w:val="000000"/>
        </w:rPr>
        <w:t>)</w:t>
      </w:r>
      <w:r w:rsidR="009B7600">
        <w:rPr>
          <w:rFonts w:eastAsia="Times New Roman"/>
          <w:color w:val="000000"/>
        </w:rPr>
        <w:t>;</w:t>
      </w:r>
    </w:p>
    <w:p w14:paraId="37293CC2" w14:textId="606E304D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33" w:line="266" w:lineRule="exact"/>
        <w:ind w:left="1800" w:right="1512" w:hanging="360"/>
        <w:textAlignment w:val="baseline"/>
        <w:rPr>
          <w:rFonts w:eastAsia="Times New Roman"/>
          <w:color w:val="000000"/>
        </w:rPr>
      </w:pPr>
      <w:r w:rsidRPr="003049A1">
        <w:rPr>
          <w:rFonts w:eastAsia="Times New Roman"/>
          <w:color w:val="000000"/>
        </w:rPr>
        <w:t>the financial statement is a true statement of the receipts and expenditure of the Local Roads and Community Infrastructure Program payments received</w:t>
      </w:r>
      <w:r w:rsidR="009B7600">
        <w:rPr>
          <w:rFonts w:eastAsia="Times New Roman"/>
          <w:color w:val="000000"/>
        </w:rPr>
        <w:t>;</w:t>
      </w:r>
    </w:p>
    <w:p w14:paraId="440CB5EB" w14:textId="09D2F9FA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33" w:line="266" w:lineRule="exact"/>
        <w:ind w:left="1800" w:right="1512" w:hanging="3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</w:t>
      </w:r>
      <w:r w:rsidR="0090359E">
        <w:rPr>
          <w:rFonts w:eastAsia="Times New Roman"/>
          <w:color w:val="000000"/>
        </w:rPr>
        <w:t>Approved Projects</w:t>
      </w:r>
      <w:r>
        <w:rPr>
          <w:rFonts w:eastAsia="Times New Roman"/>
          <w:color w:val="000000"/>
        </w:rPr>
        <w:t xml:space="preserve"> will be physically complete by 30 June 2021 unless otherwise agreed by the Department</w:t>
      </w:r>
      <w:r w:rsidR="009B7600">
        <w:rPr>
          <w:rFonts w:eastAsia="Times New Roman"/>
          <w:color w:val="000000"/>
        </w:rPr>
        <w:t>;</w:t>
      </w:r>
    </w:p>
    <w:p w14:paraId="36ABD13D" w14:textId="5FB06FA1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38" w:line="266" w:lineRule="exact"/>
        <w:ind w:left="1800" w:right="1728" w:hanging="3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understand that the Local Roads and Community Infrastructure Program is an Australian Government program and that the Department will use the information provided in accordance with:</w:t>
      </w:r>
    </w:p>
    <w:p w14:paraId="7886D4F8" w14:textId="26E45C7D" w:rsidR="0069506D" w:rsidRDefault="0069506D" w:rsidP="0069506D">
      <w:pPr>
        <w:numPr>
          <w:ilvl w:val="0"/>
          <w:numId w:val="2"/>
        </w:numPr>
        <w:tabs>
          <w:tab w:val="clear" w:pos="360"/>
          <w:tab w:val="left" w:pos="2520"/>
        </w:tabs>
        <w:spacing w:before="140" w:line="249" w:lineRule="exact"/>
        <w:ind w:left="21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Australian Government Public Data Policy Statement</w:t>
      </w:r>
      <w:r w:rsidR="0039254D">
        <w:rPr>
          <w:rFonts w:eastAsia="Times New Roman"/>
          <w:color w:val="000000"/>
        </w:rPr>
        <w:t>;</w:t>
      </w:r>
    </w:p>
    <w:p w14:paraId="67A516B1" w14:textId="7CE785B3" w:rsidR="0069506D" w:rsidRDefault="0069506D" w:rsidP="0069506D">
      <w:pPr>
        <w:numPr>
          <w:ilvl w:val="0"/>
          <w:numId w:val="2"/>
        </w:numPr>
        <w:tabs>
          <w:tab w:val="clear" w:pos="360"/>
          <w:tab w:val="left" w:pos="2520"/>
        </w:tabs>
        <w:spacing w:before="140" w:line="249" w:lineRule="exact"/>
        <w:ind w:left="2160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Commonwealth Grants Rules and Guidelines</w:t>
      </w:r>
      <w:r w:rsidR="0039254D">
        <w:rPr>
          <w:rFonts w:eastAsia="Times New Roman"/>
          <w:color w:val="000000"/>
        </w:rPr>
        <w:t>;</w:t>
      </w:r>
    </w:p>
    <w:p w14:paraId="22B12E99" w14:textId="01348C7C" w:rsidR="00AE1D51" w:rsidRDefault="0069506D" w:rsidP="00AE1D51">
      <w:pPr>
        <w:numPr>
          <w:ilvl w:val="0"/>
          <w:numId w:val="2"/>
        </w:numPr>
        <w:tabs>
          <w:tab w:val="clear" w:pos="360"/>
          <w:tab w:val="left" w:pos="2520"/>
        </w:tabs>
        <w:spacing w:before="140" w:line="249" w:lineRule="exact"/>
        <w:ind w:left="2160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A</w:t>
      </w:r>
      <w:r w:rsidR="00AE1D51">
        <w:rPr>
          <w:rFonts w:eastAsia="Times New Roman"/>
          <w:color w:val="000000"/>
          <w:spacing w:val="-1"/>
        </w:rPr>
        <w:t>pplicable Australian laws; and</w:t>
      </w:r>
    </w:p>
    <w:p w14:paraId="7134412E" w14:textId="2F06DCB9" w:rsidR="00AE1D51" w:rsidRDefault="00AE1D51" w:rsidP="00AE1D51">
      <w:pPr>
        <w:numPr>
          <w:ilvl w:val="0"/>
          <w:numId w:val="2"/>
        </w:numPr>
        <w:tabs>
          <w:tab w:val="clear" w:pos="360"/>
          <w:tab w:val="left" w:pos="2520"/>
        </w:tabs>
        <w:spacing w:before="140" w:line="249" w:lineRule="exact"/>
        <w:ind w:left="2160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May make information publically available within the course of the LRCI Program (for example in media releases or promotional materials</w:t>
      </w:r>
      <w:r w:rsidR="00DB58ED">
        <w:rPr>
          <w:rFonts w:eastAsia="Times New Roman"/>
          <w:color w:val="000000"/>
          <w:spacing w:val="-1"/>
        </w:rPr>
        <w:t>)</w:t>
      </w:r>
      <w:r>
        <w:rPr>
          <w:rFonts w:eastAsia="Times New Roman"/>
          <w:color w:val="000000"/>
          <w:spacing w:val="-1"/>
        </w:rPr>
        <w:t>.</w:t>
      </w:r>
    </w:p>
    <w:p w14:paraId="43647405" w14:textId="64756DFA" w:rsidR="0069506D" w:rsidRDefault="0069506D" w:rsidP="00AE1D51">
      <w:pPr>
        <w:tabs>
          <w:tab w:val="left" w:pos="360"/>
          <w:tab w:val="left" w:pos="2520"/>
        </w:tabs>
        <w:spacing w:before="140" w:line="249" w:lineRule="exact"/>
        <w:ind w:left="2160"/>
        <w:textAlignment w:val="baseline"/>
        <w:rPr>
          <w:rFonts w:eastAsia="Times New Roman"/>
          <w:color w:val="000000"/>
          <w:spacing w:val="-1"/>
        </w:rPr>
      </w:pPr>
    </w:p>
    <w:p w14:paraId="7FC3B6FC" w14:textId="77777777" w:rsidR="0069506D" w:rsidRDefault="0069506D" w:rsidP="0069506D">
      <w:pPr>
        <w:numPr>
          <w:ilvl w:val="0"/>
          <w:numId w:val="1"/>
        </w:numPr>
        <w:tabs>
          <w:tab w:val="clear" w:pos="360"/>
          <w:tab w:val="left" w:pos="1800"/>
        </w:tabs>
        <w:spacing w:before="129" w:after="178" w:line="269" w:lineRule="exact"/>
        <w:ind w:left="1800" w:right="1584" w:hanging="36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 am </w:t>
      </w:r>
      <w:proofErr w:type="spellStart"/>
      <w:r>
        <w:rPr>
          <w:rFonts w:eastAsia="Times New Roman"/>
          <w:color w:val="000000"/>
        </w:rPr>
        <w:t>authorised</w:t>
      </w:r>
      <w:proofErr w:type="spellEnd"/>
      <w:r>
        <w:rPr>
          <w:rFonts w:eastAsia="Times New Roman"/>
          <w:color w:val="000000"/>
        </w:rPr>
        <w:t xml:space="preserve"> to complete this form and to sign and submit this declaration on behalf of the Eligible Funding Recipient.</w:t>
      </w:r>
    </w:p>
    <w:p w14:paraId="124FD337" w14:textId="77777777" w:rsidR="0069506D" w:rsidRPr="00871331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2835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highlight w:val="lightGray"/>
        </w:rPr>
        <w:tab/>
      </w:r>
      <w:r>
        <w:rPr>
          <w:rFonts w:eastAsia="Times New Roman"/>
          <w:color w:val="00000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eastAsia="Times New Roman"/>
          <w:color w:val="000000"/>
          <w:highlight w:val="lightGray"/>
        </w:rPr>
        <w:instrText xml:space="preserve"> FORMCHECKBOX </w:instrText>
      </w:r>
      <w:r w:rsidR="00E76ED8">
        <w:rPr>
          <w:rFonts w:eastAsia="Times New Roman"/>
          <w:color w:val="000000"/>
          <w:highlight w:val="lightGray"/>
        </w:rPr>
      </w:r>
      <w:r w:rsidR="00E76ED8">
        <w:rPr>
          <w:rFonts w:eastAsia="Times New Roman"/>
          <w:color w:val="000000"/>
          <w:highlight w:val="lightGray"/>
        </w:rPr>
        <w:fldChar w:fldCharType="separate"/>
      </w:r>
      <w:r>
        <w:rPr>
          <w:rFonts w:eastAsia="Times New Roman"/>
          <w:color w:val="000000"/>
          <w:highlight w:val="lightGray"/>
        </w:rPr>
        <w:fldChar w:fldCharType="end"/>
      </w:r>
      <w:bookmarkEnd w:id="1"/>
      <w:r w:rsidRPr="00871331">
        <w:rPr>
          <w:rFonts w:eastAsia="Times New Roman"/>
          <w:color w:val="000000"/>
        </w:rPr>
        <w:t>Yes</w:t>
      </w:r>
    </w:p>
    <w:p w14:paraId="1B66AD97" w14:textId="5587CB1F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eastAsia="Times New Roman"/>
          <w:color w:val="000000"/>
        </w:rPr>
        <w:instrText xml:space="preserve"> FORMCHECKBOX </w:instrText>
      </w:r>
      <w:r w:rsidR="00E76ED8">
        <w:rPr>
          <w:rFonts w:eastAsia="Times New Roman"/>
          <w:color w:val="000000"/>
        </w:rPr>
      </w:r>
      <w:r w:rsidR="00E76ED8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bookmarkEnd w:id="2"/>
      <w:r>
        <w:rPr>
          <w:rFonts w:eastAsia="Times New Roman"/>
          <w:color w:val="000000"/>
        </w:rPr>
        <w:t xml:space="preserve"> No</w:t>
      </w:r>
    </w:p>
    <w:p w14:paraId="55883A5A" w14:textId="05687B5A" w:rsidR="00246788" w:rsidRDefault="00246788" w:rsidP="00246788">
      <w:pPr>
        <w:numPr>
          <w:ilvl w:val="0"/>
          <w:numId w:val="1"/>
        </w:numPr>
        <w:tabs>
          <w:tab w:val="clear" w:pos="360"/>
          <w:tab w:val="left" w:pos="1800"/>
        </w:tabs>
        <w:spacing w:before="129" w:after="178" w:line="269" w:lineRule="exact"/>
        <w:ind w:left="1800" w:right="1584" w:hanging="36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This form must be signed by the Chief Executive Officer, Deputy Chief Executive Officer, Chief Financial Officer or an equivalent Executive Officer.</w:t>
      </w:r>
    </w:p>
    <w:p w14:paraId="4D1E2DB5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Full name:</w:t>
      </w:r>
    </w:p>
    <w:p w14:paraId="19CC46E8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Position: </w:t>
      </w:r>
    </w:p>
    <w:p w14:paraId="4CC8F711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Council:</w:t>
      </w:r>
    </w:p>
    <w:p w14:paraId="54BB1746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Email address:</w:t>
      </w:r>
    </w:p>
    <w:p w14:paraId="2878B8F0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Date:</w:t>
      </w:r>
    </w:p>
    <w:p w14:paraId="339D704A" w14:textId="38996942" w:rsidR="00246788" w:rsidRPr="00246788" w:rsidRDefault="00246788" w:rsidP="00246788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  <w:sectPr w:rsidR="00246788" w:rsidRPr="00246788" w:rsidSect="0069506D">
          <w:headerReference w:type="default" r:id="rId10"/>
          <w:footerReference w:type="default" r:id="rId11"/>
          <w:pgSz w:w="11909" w:h="16838"/>
          <w:pgMar w:top="159" w:right="28" w:bottom="1077" w:left="357" w:header="0" w:footer="0" w:gutter="0"/>
          <w:cols w:space="720"/>
          <w:docGrid w:linePitch="299"/>
        </w:sectPr>
      </w:pPr>
      <w:r w:rsidRPr="00246788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>ignature:</w:t>
      </w:r>
    </w:p>
    <w:p w14:paraId="00AA4CB9" w14:textId="77777777" w:rsidR="0069506D" w:rsidRDefault="0069506D" w:rsidP="0069506D">
      <w:pPr>
        <w:spacing w:before="19" w:line="389" w:lineRule="exact"/>
        <w:ind w:left="1080"/>
        <w:textAlignment w:val="baseline"/>
        <w:rPr>
          <w:rFonts w:ascii="Georgia" w:eastAsia="Georgia" w:hAnsi="Georgia"/>
          <w:color w:val="5A9AD4"/>
          <w:spacing w:val="-1"/>
          <w:sz w:val="36"/>
        </w:rPr>
      </w:pPr>
      <w:r w:rsidRPr="0069506D">
        <w:rPr>
          <w:rFonts w:ascii="Georgia" w:eastAsia="Georgia" w:hAnsi="Georgia"/>
          <w:color w:val="5A9AD4"/>
          <w:spacing w:val="-1"/>
          <w:sz w:val="36"/>
        </w:rPr>
        <w:lastRenderedPageBreak/>
        <w:t>Glossary</w:t>
      </w:r>
    </w:p>
    <w:p w14:paraId="204E1520" w14:textId="77777777" w:rsidR="0069506D" w:rsidRPr="00826763" w:rsidRDefault="0069506D" w:rsidP="0069506D">
      <w:pPr>
        <w:spacing w:before="19" w:line="389" w:lineRule="exact"/>
        <w:ind w:left="1080"/>
        <w:textAlignment w:val="baseline"/>
        <w:rPr>
          <w:rFonts w:eastAsia="Times New Roman"/>
          <w:b/>
          <w:color w:val="000000"/>
        </w:rPr>
      </w:pPr>
    </w:p>
    <w:tbl>
      <w:tblPr>
        <w:tblStyle w:val="TableGrid"/>
        <w:tblW w:w="0" w:type="auto"/>
        <w:tblInd w:w="946" w:type="dxa"/>
        <w:tblLook w:val="04A0" w:firstRow="1" w:lastRow="0" w:firstColumn="1" w:lastColumn="0" w:noHBand="0" w:noVBand="1"/>
      </w:tblPr>
      <w:tblGrid>
        <w:gridCol w:w="4977"/>
        <w:gridCol w:w="4977"/>
      </w:tblGrid>
      <w:tr w:rsidR="0069506D" w:rsidRPr="00AD0419" w14:paraId="6FEE5CF0" w14:textId="77777777" w:rsidTr="000D72FB">
        <w:tc>
          <w:tcPr>
            <w:tcW w:w="4977" w:type="dxa"/>
          </w:tcPr>
          <w:p w14:paraId="6E8D1DC7" w14:textId="77777777" w:rsidR="0069506D" w:rsidRPr="00AD0419" w:rsidRDefault="0069506D" w:rsidP="000D72FB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hAnsi="Times New Roman" w:cs="Times New Roman"/>
                <w:b/>
              </w:rPr>
            </w:pPr>
            <w:r w:rsidRPr="00AD0419"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4977" w:type="dxa"/>
          </w:tcPr>
          <w:p w14:paraId="36BC46A1" w14:textId="77777777" w:rsidR="0069506D" w:rsidRPr="00AD0419" w:rsidRDefault="0069506D" w:rsidP="000D72FB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hAnsi="Times New Roman" w:cs="Times New Roman"/>
                <w:b/>
              </w:rPr>
            </w:pPr>
            <w:r w:rsidRPr="00AD0419">
              <w:rPr>
                <w:rFonts w:ascii="Times New Roman" w:hAnsi="Times New Roman" w:cs="Times New Roman"/>
                <w:b/>
              </w:rPr>
              <w:t>Definition</w:t>
            </w:r>
          </w:p>
        </w:tc>
      </w:tr>
      <w:tr w:rsidR="001F2833" w14:paraId="3F490629" w14:textId="77777777" w:rsidTr="000D72FB">
        <w:tc>
          <w:tcPr>
            <w:tcW w:w="4977" w:type="dxa"/>
          </w:tcPr>
          <w:p w14:paraId="267043D9" w14:textId="7ABD9CF7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</w:pPr>
            <w:r w:rsidRPr="0069506D">
              <w:rPr>
                <w:rFonts w:ascii="Times New Roman" w:hAnsi="Times New Roman" w:cs="Times New Roman"/>
              </w:rPr>
              <w:t>Actual</w:t>
            </w:r>
            <w:r>
              <w:t xml:space="preserve"> </w:t>
            </w:r>
            <w:r w:rsidRPr="0069506D">
              <w:rPr>
                <w:rFonts w:ascii="Times New Roman" w:hAnsi="Times New Roman" w:cs="Times New Roman"/>
              </w:rPr>
              <w:t>Expenditure</w:t>
            </w:r>
          </w:p>
        </w:tc>
        <w:tc>
          <w:tcPr>
            <w:tcW w:w="4977" w:type="dxa"/>
          </w:tcPr>
          <w:p w14:paraId="3BE79B99" w14:textId="280CF33F" w:rsidR="001F2833" w:rsidRPr="006714B6" w:rsidRDefault="001F2833" w:rsidP="001F283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6714B6">
              <w:rPr>
                <w:rFonts w:ascii="Times New Roman" w:eastAsia="Times New Roman" w:hAnsi="Times New Roman" w:cs="Times New Roman"/>
                <w:color w:val="000000"/>
              </w:rPr>
              <w:t>he amount of grant funding spent (actual expenditure) for the period commencing on 1 July 2020 and ending on the last day of the quarter to whic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 the Quarterly Report relates.</w:t>
            </w:r>
          </w:p>
        </w:tc>
      </w:tr>
      <w:tr w:rsidR="001F2833" w14:paraId="6B730FB5" w14:textId="77777777" w:rsidTr="000D72FB">
        <w:tc>
          <w:tcPr>
            <w:tcW w:w="4977" w:type="dxa"/>
          </w:tcPr>
          <w:p w14:paraId="6F7E3AF8" w14:textId="0B6B70D0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D0419">
              <w:rPr>
                <w:rFonts w:ascii="Times New Roman" w:hAnsi="Times New Roman" w:cs="Times New Roman"/>
              </w:rPr>
              <w:t>Approved Work Schedule</w:t>
            </w:r>
          </w:p>
        </w:tc>
        <w:tc>
          <w:tcPr>
            <w:tcW w:w="4977" w:type="dxa"/>
          </w:tcPr>
          <w:p w14:paraId="58A92165" w14:textId="5614E4F3" w:rsidR="001F2833" w:rsidRPr="00AD0419" w:rsidRDefault="001F2833" w:rsidP="001F283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The Work Schedule that outlines E</w:t>
            </w:r>
            <w:r w:rsidRPr="00AD0419">
              <w:rPr>
                <w:rFonts w:ascii="Times New Roman" w:eastAsia="Times New Roman" w:hAnsi="Times New Roman" w:cs="Times New Roman"/>
                <w:color w:val="000000"/>
              </w:rPr>
              <w:t xml:space="preserve">ligible Projects that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Eligible </w:t>
            </w:r>
            <w:r w:rsidRPr="00AD0419">
              <w:rPr>
                <w:rFonts w:ascii="Times New Roman" w:eastAsia="Times New Roman" w:hAnsi="Times New Roman" w:cs="Times New Roman"/>
                <w:color w:val="000000"/>
              </w:rPr>
              <w:t>Funding Recipient can use grant money to pay for 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</w:t>
            </w:r>
            <w:r w:rsidRPr="00AD0419">
              <w:rPr>
                <w:rFonts w:ascii="Times New Roman" w:eastAsia="Times New Roman" w:hAnsi="Times New Roman" w:cs="Times New Roman"/>
                <w:color w:val="000000"/>
              </w:rPr>
              <w:t xml:space="preserve"> approved by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Delegate of the Secretary of the Department.</w:t>
            </w:r>
          </w:p>
        </w:tc>
      </w:tr>
      <w:tr w:rsidR="001F2833" w14:paraId="1DB8D705" w14:textId="77777777" w:rsidTr="000D72FB">
        <w:tc>
          <w:tcPr>
            <w:tcW w:w="4977" w:type="dxa"/>
          </w:tcPr>
          <w:p w14:paraId="382E81CC" w14:textId="6DCF45C7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D0419">
              <w:rPr>
                <w:rFonts w:ascii="Times New Roman" w:hAnsi="Times New Roman" w:cs="Times New Roman"/>
              </w:rPr>
              <w:t>ommencement date</w:t>
            </w:r>
          </w:p>
        </w:tc>
        <w:tc>
          <w:tcPr>
            <w:tcW w:w="4977" w:type="dxa"/>
          </w:tcPr>
          <w:p w14:paraId="6B365070" w14:textId="221003A1" w:rsidR="001F2833" w:rsidRPr="00B14545" w:rsidRDefault="001F2833" w:rsidP="007049A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B14545">
              <w:rPr>
                <w:rFonts w:ascii="Times New Roman" w:eastAsia="Times New Roman" w:hAnsi="Times New Roman" w:cs="Times New Roman"/>
                <w:color w:val="000000"/>
              </w:rPr>
              <w:t>he start date for the</w:t>
            </w:r>
            <w:r w:rsidR="007049A0">
              <w:rPr>
                <w:rFonts w:ascii="Times New Roman" w:eastAsia="Times New Roman" w:hAnsi="Times New Roman" w:cs="Times New Roman"/>
                <w:color w:val="000000"/>
              </w:rPr>
              <w:t xml:space="preserve"> project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B145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F2833" w14:paraId="524096C4" w14:textId="77777777" w:rsidTr="000D72FB">
        <w:tc>
          <w:tcPr>
            <w:tcW w:w="4977" w:type="dxa"/>
          </w:tcPr>
          <w:p w14:paraId="571D97E2" w14:textId="7CB358B3" w:rsidR="001F2833" w:rsidRPr="00B14545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hAnsi="Times New Roman" w:cs="Times New Roman"/>
              </w:rPr>
            </w:pPr>
            <w:r w:rsidRPr="00B14545">
              <w:rPr>
                <w:rFonts w:ascii="Times New Roman" w:hAnsi="Times New Roman" w:cs="Times New Roman"/>
              </w:rPr>
              <w:t>Completion Date</w:t>
            </w:r>
          </w:p>
        </w:tc>
        <w:tc>
          <w:tcPr>
            <w:tcW w:w="4977" w:type="dxa"/>
          </w:tcPr>
          <w:p w14:paraId="2558945E" w14:textId="5D0FC6B6" w:rsidR="001F2833" w:rsidRPr="00B14545" w:rsidRDefault="001F2833" w:rsidP="007049A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14545">
              <w:rPr>
                <w:rFonts w:ascii="Times New Roman" w:eastAsia="Times New Roman" w:hAnsi="Times New Roman" w:cs="Times New Roman"/>
                <w:color w:val="000000"/>
              </w:rPr>
              <w:t xml:space="preserve">The end date for the </w:t>
            </w:r>
            <w:r w:rsidR="007049A0">
              <w:rPr>
                <w:rFonts w:ascii="Times New Roman" w:eastAsia="Times New Roman" w:hAnsi="Times New Roman" w:cs="Times New Roman"/>
                <w:color w:val="000000"/>
              </w:rPr>
              <w:t>project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F2833" w14:paraId="2D533877" w14:textId="77777777" w:rsidTr="000D72FB">
        <w:tc>
          <w:tcPr>
            <w:tcW w:w="4977" w:type="dxa"/>
          </w:tcPr>
          <w:p w14:paraId="12E4B506" w14:textId="5012EE61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D0419">
              <w:rPr>
                <w:rFonts w:ascii="Times New Roman" w:hAnsi="Times New Roman" w:cs="Times New Roman"/>
              </w:rPr>
              <w:t>Eligible Funding Recipient</w:t>
            </w:r>
          </w:p>
        </w:tc>
        <w:tc>
          <w:tcPr>
            <w:tcW w:w="4977" w:type="dxa"/>
          </w:tcPr>
          <w:p w14:paraId="6B015628" w14:textId="71D70873" w:rsidR="001F2833" w:rsidRPr="00AD0419" w:rsidRDefault="001F2833" w:rsidP="001F283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AD0419">
              <w:rPr>
                <w:rFonts w:ascii="Times New Roman" w:eastAsia="Times New Roman" w:hAnsi="Times New Roman" w:cs="Times New Roman"/>
                <w:color w:val="000000"/>
              </w:rPr>
              <w:t>he organisation that is eligible to receive funding under the LRCI Program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F2833" w14:paraId="3FC343A5" w14:textId="77777777" w:rsidTr="000D72FB">
        <w:tc>
          <w:tcPr>
            <w:tcW w:w="4977" w:type="dxa"/>
          </w:tcPr>
          <w:p w14:paraId="6CA9F17D" w14:textId="09C792D7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D0419">
              <w:rPr>
                <w:rFonts w:ascii="Times New Roman" w:hAnsi="Times New Roman" w:cs="Times New Roman"/>
              </w:rPr>
              <w:t>Nominal Funding Allocation</w:t>
            </w:r>
          </w:p>
        </w:tc>
        <w:tc>
          <w:tcPr>
            <w:tcW w:w="4977" w:type="dxa"/>
          </w:tcPr>
          <w:p w14:paraId="4EA23475" w14:textId="1700503F" w:rsidR="001F2833" w:rsidRPr="00AD0419" w:rsidRDefault="001F2833" w:rsidP="001F283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D0419">
              <w:rPr>
                <w:rFonts w:ascii="Times New Roman" w:eastAsia="Times New Roman" w:hAnsi="Times New Roman" w:cs="Times New Roman"/>
                <w:color w:val="000000"/>
              </w:rPr>
              <w:t>The maximum funding that an Eligible Funding Recipient can access under the LRCI Program for Eligible Projects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F2833" w14:paraId="47BF1405" w14:textId="77777777" w:rsidTr="000D72FB">
        <w:trPr>
          <w:trHeight w:val="85"/>
        </w:trPr>
        <w:tc>
          <w:tcPr>
            <w:tcW w:w="4977" w:type="dxa"/>
          </w:tcPr>
          <w:p w14:paraId="4106F44C" w14:textId="34D290B6" w:rsidR="001F2833" w:rsidRPr="00AD0419" w:rsidRDefault="001F2833" w:rsidP="001F2833">
            <w:pPr>
              <w:tabs>
                <w:tab w:val="left" w:pos="360"/>
                <w:tab w:val="left" w:pos="1800"/>
              </w:tabs>
              <w:spacing w:before="129" w:after="178" w:line="269" w:lineRule="exact"/>
              <w:ind w:right="158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Proposed Expenditure</w:t>
            </w:r>
          </w:p>
        </w:tc>
        <w:tc>
          <w:tcPr>
            <w:tcW w:w="4977" w:type="dxa"/>
          </w:tcPr>
          <w:p w14:paraId="42D6DBE7" w14:textId="472DBEC7" w:rsidR="001F2833" w:rsidRPr="00AD0419" w:rsidRDefault="001F2833" w:rsidP="001F283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amount of grant funding </w:t>
            </w:r>
            <w:r w:rsidRPr="00826763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Eligible </w:t>
            </w:r>
            <w:r w:rsidRPr="00826763">
              <w:rPr>
                <w:rFonts w:ascii="Times New Roman" w:eastAsia="Times New Roman" w:hAnsi="Times New Roman" w:cs="Times New Roman"/>
                <w:color w:val="000000"/>
              </w:rPr>
              <w:t>Funding Recipient intends to spend on Eligible Projects in the quarter following the report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086FDB43" w14:textId="77777777" w:rsidR="0069506D" w:rsidRDefault="0069506D" w:rsidP="0069506D">
      <w:pPr>
        <w:tabs>
          <w:tab w:val="left" w:pos="360"/>
          <w:tab w:val="left" w:pos="1800"/>
        </w:tabs>
        <w:spacing w:before="129" w:after="178" w:line="269" w:lineRule="exact"/>
        <w:ind w:left="1560" w:right="1584"/>
        <w:jc w:val="both"/>
        <w:textAlignment w:val="baseline"/>
        <w:rPr>
          <w:rFonts w:eastAsia="Times New Roman"/>
          <w:color w:val="000000"/>
        </w:rPr>
      </w:pPr>
    </w:p>
    <w:p w14:paraId="463B4BD7" w14:textId="77777777" w:rsidR="00E573A3" w:rsidRDefault="00E573A3">
      <w:pPr>
        <w:spacing w:before="19" w:line="389" w:lineRule="exact"/>
        <w:ind w:left="1080"/>
        <w:textAlignment w:val="baseline"/>
        <w:rPr>
          <w:rFonts w:ascii="Georgia" w:eastAsia="Georgia" w:hAnsi="Georgia"/>
          <w:color w:val="5A9AD4"/>
          <w:spacing w:val="-1"/>
          <w:sz w:val="36"/>
        </w:rPr>
      </w:pPr>
    </w:p>
    <w:p w14:paraId="6BD96147" w14:textId="77777777" w:rsidR="00E573A3" w:rsidRDefault="00E573A3">
      <w:pPr>
        <w:spacing w:before="19" w:line="389" w:lineRule="exact"/>
        <w:ind w:left="1080"/>
        <w:textAlignment w:val="baseline"/>
        <w:rPr>
          <w:rFonts w:ascii="Georgia" w:eastAsia="Georgia" w:hAnsi="Georgia"/>
          <w:color w:val="5A9AD4"/>
          <w:spacing w:val="-1"/>
          <w:sz w:val="36"/>
        </w:rPr>
      </w:pPr>
    </w:p>
    <w:p w14:paraId="0D75C965" w14:textId="77777777" w:rsidR="007B2EF1" w:rsidRDefault="007B2EF1" w:rsidP="0069506D">
      <w:pPr>
        <w:rPr>
          <w:rFonts w:eastAsia="Times New Roman"/>
          <w:color w:val="000000"/>
        </w:rPr>
      </w:pPr>
    </w:p>
    <w:sectPr w:rsidR="007B2EF1" w:rsidSect="0069506D">
      <w:pgSz w:w="11909" w:h="16838"/>
      <w:pgMar w:top="159" w:right="28" w:bottom="1077" w:left="35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64FB2" w14:textId="77777777" w:rsidR="00865618" w:rsidRDefault="00865618" w:rsidP="00865618">
      <w:r>
        <w:separator/>
      </w:r>
    </w:p>
  </w:endnote>
  <w:endnote w:type="continuationSeparator" w:id="0">
    <w:p w14:paraId="64CDBF8B" w14:textId="77777777" w:rsidR="00865618" w:rsidRDefault="00865618" w:rsidP="0086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eorg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990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3D354" w14:textId="55720966" w:rsidR="00E573A3" w:rsidRDefault="00E573A3" w:rsidP="00E8610C">
        <w:pPr>
          <w:pStyle w:val="Footer"/>
          <w:ind w:left="15840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ED8">
          <w:rPr>
            <w:noProof/>
          </w:rPr>
          <w:t>3</w:t>
        </w:r>
        <w:r>
          <w:rPr>
            <w:noProof/>
          </w:rPr>
          <w:fldChar w:fldCharType="end"/>
        </w:r>
      </w:p>
      <w:p w14:paraId="4EDF310E" w14:textId="77777777" w:rsidR="00E573A3" w:rsidRDefault="00E573A3">
        <w:pPr>
          <w:pStyle w:val="Footer"/>
          <w:jc w:val="right"/>
          <w:rPr>
            <w:noProof/>
          </w:rPr>
        </w:pPr>
        <w:r>
          <w:rPr>
            <w:noProof/>
            <w:lang w:val="en-AU" w:eastAsia="en-AU"/>
          </w:rPr>
          <w:drawing>
            <wp:inline distT="0" distB="0" distL="0" distR="0" wp14:anchorId="64AF17E5" wp14:editId="2C34A2BB">
              <wp:extent cx="10485912" cy="403225"/>
              <wp:effectExtent l="0" t="0" r="0" b="0"/>
              <wp:docPr id="31" name="Pictur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"/>
                      <pic:cNvPicPr preferRelativeResize="0"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2222" cy="606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369C385" w14:textId="77777777" w:rsidR="00E573A3" w:rsidRDefault="00E76ED8">
        <w:pPr>
          <w:pStyle w:val="Footer"/>
          <w:jc w:val="right"/>
        </w:pPr>
      </w:p>
    </w:sdtContent>
  </w:sdt>
  <w:p w14:paraId="6B7EB28F" w14:textId="77777777" w:rsidR="00E573A3" w:rsidRDefault="00E57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DF3A" w14:textId="77777777" w:rsidR="00865618" w:rsidRDefault="00865618" w:rsidP="00865618">
      <w:r>
        <w:separator/>
      </w:r>
    </w:p>
  </w:footnote>
  <w:footnote w:type="continuationSeparator" w:id="0">
    <w:p w14:paraId="312B3287" w14:textId="77777777" w:rsidR="00865618" w:rsidRDefault="00865618" w:rsidP="0086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C6CD6" w14:textId="77777777" w:rsidR="00865618" w:rsidRDefault="00865618">
    <w:pPr>
      <w:pStyle w:val="Header"/>
    </w:pPr>
    <w:r>
      <w:rPr>
        <w:noProof/>
        <w:lang w:val="en-AU" w:eastAsia="en-AU"/>
      </w:rPr>
      <w:drawing>
        <wp:inline distT="0" distB="0" distL="0" distR="0" wp14:anchorId="402D9BD8" wp14:editId="30C084B0">
          <wp:extent cx="10474036" cy="1243330"/>
          <wp:effectExtent l="0" t="0" r="3810" b="0"/>
          <wp:docPr id="3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90046" cy="124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247"/>
    <w:multiLevelType w:val="hybridMultilevel"/>
    <w:tmpl w:val="E2CE781A"/>
    <w:lvl w:ilvl="0" w:tplc="F6DCFC6E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5DF513A"/>
    <w:multiLevelType w:val="multilevel"/>
    <w:tmpl w:val="D786D452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9A3607"/>
    <w:multiLevelType w:val="hybridMultilevel"/>
    <w:tmpl w:val="86BA267E"/>
    <w:lvl w:ilvl="0" w:tplc="0C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302236E1"/>
    <w:multiLevelType w:val="hybridMultilevel"/>
    <w:tmpl w:val="41781CCC"/>
    <w:lvl w:ilvl="0" w:tplc="0C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3CE1EF5"/>
    <w:multiLevelType w:val="hybridMultilevel"/>
    <w:tmpl w:val="ACB8815A"/>
    <w:lvl w:ilvl="0" w:tplc="A408370C">
      <w:start w:val="1"/>
      <w:numFmt w:val="bullet"/>
      <w:lvlText w:val="□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58A3F6C"/>
    <w:multiLevelType w:val="multilevel"/>
    <w:tmpl w:val="8C6ED32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CC5ACF"/>
    <w:multiLevelType w:val="hybridMultilevel"/>
    <w:tmpl w:val="FCF4DB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5A0C5A"/>
    <w:multiLevelType w:val="hybridMultilevel"/>
    <w:tmpl w:val="07E0698A"/>
    <w:lvl w:ilvl="0" w:tplc="3A74E1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4445D"/>
    <w:multiLevelType w:val="hybridMultilevel"/>
    <w:tmpl w:val="D3CCC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F1"/>
    <w:rsid w:val="00037E70"/>
    <w:rsid w:val="000D4E31"/>
    <w:rsid w:val="00144B4A"/>
    <w:rsid w:val="0019262D"/>
    <w:rsid w:val="001F2833"/>
    <w:rsid w:val="00236729"/>
    <w:rsid w:val="00246788"/>
    <w:rsid w:val="002B0943"/>
    <w:rsid w:val="003049A1"/>
    <w:rsid w:val="003274CD"/>
    <w:rsid w:val="0039254D"/>
    <w:rsid w:val="004351F0"/>
    <w:rsid w:val="00446336"/>
    <w:rsid w:val="004539D5"/>
    <w:rsid w:val="004A1A26"/>
    <w:rsid w:val="004B1980"/>
    <w:rsid w:val="004E2D3A"/>
    <w:rsid w:val="004E40D2"/>
    <w:rsid w:val="005C2D3D"/>
    <w:rsid w:val="005C7D1A"/>
    <w:rsid w:val="006714B6"/>
    <w:rsid w:val="0069506D"/>
    <w:rsid w:val="007049A0"/>
    <w:rsid w:val="00747836"/>
    <w:rsid w:val="007B2EF1"/>
    <w:rsid w:val="00826763"/>
    <w:rsid w:val="00865618"/>
    <w:rsid w:val="00871331"/>
    <w:rsid w:val="008D23E7"/>
    <w:rsid w:val="0090359E"/>
    <w:rsid w:val="009B7600"/>
    <w:rsid w:val="00A00EDB"/>
    <w:rsid w:val="00A70B46"/>
    <w:rsid w:val="00A86E12"/>
    <w:rsid w:val="00AD0419"/>
    <w:rsid w:val="00AE1D51"/>
    <w:rsid w:val="00B14545"/>
    <w:rsid w:val="00C42389"/>
    <w:rsid w:val="00C9123D"/>
    <w:rsid w:val="00CB3BD8"/>
    <w:rsid w:val="00D544A9"/>
    <w:rsid w:val="00DB58ED"/>
    <w:rsid w:val="00DE2166"/>
    <w:rsid w:val="00DE68E1"/>
    <w:rsid w:val="00E21059"/>
    <w:rsid w:val="00E573A3"/>
    <w:rsid w:val="00E76ED8"/>
    <w:rsid w:val="00E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561D47"/>
  <w15:docId w15:val="{A73E2D49-49DE-40E3-9C31-28F6A8EF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4A1A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92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618"/>
  </w:style>
  <w:style w:type="paragraph" w:styleId="Footer">
    <w:name w:val="footer"/>
    <w:basedOn w:val="Normal"/>
    <w:link w:val="FooterChar"/>
    <w:uiPriority w:val="99"/>
    <w:unhideWhenUsed/>
    <w:rsid w:val="00865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618"/>
  </w:style>
  <w:style w:type="table" w:styleId="TableGrid">
    <w:name w:val="Table Grid"/>
    <w:basedOn w:val="TableNormal"/>
    <w:uiPriority w:val="39"/>
    <w:rsid w:val="003049A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qFormat/>
    <w:rsid w:val="00AD0419"/>
    <w:pPr>
      <w:numPr>
        <w:numId w:val="5"/>
      </w:numPr>
      <w:suppressAutoHyphens/>
      <w:spacing w:before="120" w:after="60" w:line="280" w:lineRule="atLeast"/>
    </w:pPr>
    <w:rPr>
      <w:rFonts w:asciiTheme="minorHAnsi" w:eastAsiaTheme="minorHAnsi" w:hAnsiTheme="minorHAnsi" w:cstheme="minorBidi"/>
      <w:lang w:val="en-AU"/>
    </w:rPr>
  </w:style>
  <w:style w:type="paragraph" w:customStyle="1" w:styleId="Bullet2">
    <w:name w:val="Bullet 2"/>
    <w:basedOn w:val="Bullet1"/>
    <w:qFormat/>
    <w:rsid w:val="00AD0419"/>
    <w:pPr>
      <w:numPr>
        <w:ilvl w:val="1"/>
      </w:numPr>
    </w:pPr>
  </w:style>
  <w:style w:type="paragraph" w:customStyle="1" w:styleId="Bullet3">
    <w:name w:val="Bullet 3"/>
    <w:basedOn w:val="Bullet2"/>
    <w:qFormat/>
    <w:rsid w:val="00AD0419"/>
    <w:pPr>
      <w:numPr>
        <w:ilvl w:val="2"/>
      </w:numPr>
    </w:pPr>
  </w:style>
  <w:style w:type="numbering" w:customStyle="1" w:styleId="BulletsList">
    <w:name w:val="Bullets List"/>
    <w:uiPriority w:val="99"/>
    <w:rsid w:val="00AD0419"/>
    <w:pPr>
      <w:numPr>
        <w:numId w:val="5"/>
      </w:numPr>
    </w:pPr>
  </w:style>
  <w:style w:type="paragraph" w:customStyle="1" w:styleId="NumberedList1">
    <w:name w:val="Numbered List 1"/>
    <w:basedOn w:val="Normal"/>
    <w:qFormat/>
    <w:rsid w:val="00AD0419"/>
    <w:pPr>
      <w:numPr>
        <w:numId w:val="6"/>
      </w:numPr>
      <w:suppressAutoHyphens/>
      <w:spacing w:before="180" w:after="60" w:line="280" w:lineRule="atLeast"/>
    </w:pPr>
    <w:rPr>
      <w:rFonts w:asciiTheme="minorHAnsi" w:eastAsiaTheme="minorHAnsi" w:hAnsiTheme="minorHAnsi" w:cstheme="minorBidi"/>
      <w:lang w:val="en-AU"/>
    </w:rPr>
  </w:style>
  <w:style w:type="paragraph" w:customStyle="1" w:styleId="NumberedList2">
    <w:name w:val="Numbered List 2"/>
    <w:basedOn w:val="NumberedList1"/>
    <w:qFormat/>
    <w:rsid w:val="00AD0419"/>
    <w:pPr>
      <w:numPr>
        <w:ilvl w:val="1"/>
      </w:numPr>
      <w:spacing w:before="120"/>
    </w:pPr>
  </w:style>
  <w:style w:type="paragraph" w:customStyle="1" w:styleId="NumberedList3">
    <w:name w:val="Numbered List 3"/>
    <w:basedOn w:val="NumberedList2"/>
    <w:qFormat/>
    <w:rsid w:val="00AD0419"/>
    <w:pPr>
      <w:numPr>
        <w:ilvl w:val="2"/>
      </w:numPr>
    </w:pPr>
  </w:style>
  <w:style w:type="numbering" w:customStyle="1" w:styleId="Numberedlist">
    <w:name w:val="Numbered list"/>
    <w:uiPriority w:val="99"/>
    <w:rsid w:val="00AD041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B7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6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00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144B4A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4A1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5C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infrastructure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vestment.infrastructure.gov.au/lrc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2B20-A734-463E-8E3C-375B8837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Rogers Sophie</dc:creator>
  <cp:lastModifiedBy>Rogers Sophie</cp:lastModifiedBy>
  <cp:revision>4</cp:revision>
  <cp:lastPrinted>2020-09-29T14:04:00Z</cp:lastPrinted>
  <dcterms:created xsi:type="dcterms:W3CDTF">2020-09-29T02:10:00Z</dcterms:created>
  <dcterms:modified xsi:type="dcterms:W3CDTF">2020-09-29T14:10:00Z</dcterms:modified>
</cp:coreProperties>
</file>